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070A" w14:textId="77777777" w:rsidR="00390BE0" w:rsidRDefault="00390BE0" w:rsidP="00390BE0">
      <w:pPr>
        <w:pStyle w:val="berschrift1"/>
      </w:pPr>
      <w:bookmarkStart w:id="0" w:name="_Toc206059742"/>
      <w:r>
        <w:t>Verhaltensleitfaden, wenn ein Fall gemeldet wird:</w:t>
      </w:r>
      <w:bookmarkEnd w:id="0"/>
    </w:p>
    <w:p w14:paraId="1BD9E2C0" w14:textId="77777777" w:rsidR="00390BE0" w:rsidRPr="009B5BBD" w:rsidRDefault="00390BE0" w:rsidP="00390BE0">
      <w:r w:rsidRPr="009B5BBD">
        <w:t>Dieser Leitfaden soll sicherstellen, dass sexualisierte Übergriffe im Sportunterricht konsequent und umfassend behandelt werden. Er legt Wert auf den Schutz und die Unterstützung der Betroffenen, eine gründliche Untersuchung des Vorfalls und die Etablierung von Präventionsmaßnahmen, um zukünftige Übergriffe zu verhindern.</w:t>
      </w:r>
    </w:p>
    <w:p w14:paraId="10DCAA9B" w14:textId="77777777" w:rsidR="00390BE0" w:rsidRDefault="00390BE0" w:rsidP="00390BE0">
      <w:r>
        <w:t>Verband/Verein__________________________</w:t>
      </w:r>
    </w:p>
    <w:p w14:paraId="7C89C164" w14:textId="77777777" w:rsidR="00390BE0" w:rsidRDefault="00390BE0" w:rsidP="00390BE0"/>
    <w:p w14:paraId="4BCD054D" w14:textId="77777777" w:rsidR="00390BE0" w:rsidRDefault="00390BE0" w:rsidP="00390BE0">
      <w:r>
        <w:t>Betroffene Person: ______________________</w:t>
      </w:r>
    </w:p>
    <w:p w14:paraId="13512B13" w14:textId="77777777" w:rsidR="00390BE0" w:rsidRDefault="00390BE0" w:rsidP="00390BE0">
      <w:r>
        <w:t>Meldung am____________________________</w:t>
      </w:r>
    </w:p>
    <w:p w14:paraId="2BEE320C" w14:textId="77777777" w:rsidR="00390BE0" w:rsidRDefault="00390BE0" w:rsidP="00390BE0"/>
    <w:p w14:paraId="6C02CE66" w14:textId="77777777" w:rsidR="00390BE0" w:rsidRPr="009B5BBD" w:rsidRDefault="00390BE0" w:rsidP="00390BE0">
      <w:pPr>
        <w:rPr>
          <w:b/>
          <w:bCs/>
        </w:rPr>
      </w:pPr>
      <w:r w:rsidRPr="009B5BBD">
        <w:rPr>
          <w:b/>
          <w:bCs/>
        </w:rPr>
        <w:t>Sofortiges Handeln und Schutz der Betroffenen</w:t>
      </w:r>
    </w:p>
    <w:p w14:paraId="42B5094E" w14:textId="77777777" w:rsidR="00390BE0" w:rsidRPr="009B5BBD" w:rsidRDefault="00390BE0" w:rsidP="00390BE0">
      <w:pPr>
        <w:numPr>
          <w:ilvl w:val="0"/>
          <w:numId w:val="1"/>
        </w:numPr>
      </w:pPr>
      <w:r w:rsidRPr="009B5BBD">
        <w:rPr>
          <w:b/>
          <w:bCs/>
        </w:rPr>
        <w:t>Trennung</w:t>
      </w:r>
      <w:r w:rsidRPr="009B5BBD">
        <w:t>: Der/</w:t>
      </w:r>
      <w:proofErr w:type="gramStart"/>
      <w:r w:rsidRPr="009B5BBD">
        <w:t>die betroffene Trainer</w:t>
      </w:r>
      <w:proofErr w:type="gramEnd"/>
      <w:r>
        <w:t xml:space="preserve">*in soll </w:t>
      </w:r>
      <w:r w:rsidRPr="009B5BBD">
        <w:t>sofort vom Unterricht und allen weiteren Tätigkeiten im Kontakt mit</w:t>
      </w:r>
      <w:r>
        <w:t xml:space="preserve"> Kind/Jugendlichen </w:t>
      </w:r>
      <w:r w:rsidRPr="009B5BBD">
        <w:t>freigestellt werden.</w:t>
      </w:r>
    </w:p>
    <w:p w14:paraId="3632BEB1" w14:textId="77777777" w:rsidR="00390BE0" w:rsidRPr="009B5BBD" w:rsidRDefault="00390BE0" w:rsidP="00390BE0">
      <w:pPr>
        <w:numPr>
          <w:ilvl w:val="0"/>
          <w:numId w:val="1"/>
        </w:numPr>
      </w:pPr>
      <w:r w:rsidRPr="009B5BBD">
        <w:rPr>
          <w:b/>
          <w:bCs/>
        </w:rPr>
        <w:t>Unterstützung der Betroffenen</w:t>
      </w:r>
      <w:r w:rsidRPr="009B5BBD">
        <w:t>: De</w:t>
      </w:r>
      <w:r>
        <w:t>m</w:t>
      </w:r>
      <w:r w:rsidRPr="009B5BBD">
        <w:t xml:space="preserve"> betroffenen </w:t>
      </w:r>
      <w:r>
        <w:t xml:space="preserve">Kind/Jugendlichen </w:t>
      </w:r>
      <w:r w:rsidRPr="009B5BBD">
        <w:t>ist unmittelbare Unterstützung anzubieten. Dazu gehören psychologische Beratung, vertrauliche Gespräche und die Option, sich an externe Hilfsorganisationen zu wenden.</w:t>
      </w:r>
    </w:p>
    <w:p w14:paraId="53CA5F78" w14:textId="77777777" w:rsidR="00390BE0" w:rsidRPr="009B5BBD" w:rsidRDefault="00390BE0" w:rsidP="00390BE0">
      <w:pPr>
        <w:numPr>
          <w:ilvl w:val="0"/>
          <w:numId w:val="1"/>
        </w:numPr>
      </w:pPr>
      <w:r w:rsidRPr="009B5BBD">
        <w:rPr>
          <w:b/>
          <w:bCs/>
        </w:rPr>
        <w:t>Sicherstellung der Privatsphäre</w:t>
      </w:r>
      <w:r w:rsidRPr="009B5BBD">
        <w:t xml:space="preserve">: Der Schutz der Identität und Privatsphäre der betroffenen Personen </w:t>
      </w:r>
      <w:r>
        <w:t xml:space="preserve">und des Beschuldigten </w:t>
      </w:r>
      <w:r w:rsidRPr="009B5BBD">
        <w:t>ist von höchster Priorität. Informationen über den Vorfall sollten nur im notwendigen Umfang und vertraulich behandelt werden.</w:t>
      </w:r>
    </w:p>
    <w:p w14:paraId="15BD7043" w14:textId="77777777" w:rsidR="00390BE0" w:rsidRPr="001D79EC" w:rsidRDefault="00390BE0" w:rsidP="00390BE0">
      <w:pPr>
        <w:rPr>
          <w:b/>
          <w:bCs/>
        </w:rPr>
      </w:pPr>
      <w:r w:rsidRPr="009B5BBD">
        <w:rPr>
          <w:b/>
          <w:bCs/>
        </w:rPr>
        <w:t xml:space="preserve">2. Meldung und </w:t>
      </w:r>
      <w:r w:rsidRPr="001D79EC">
        <w:rPr>
          <w:b/>
          <w:bCs/>
        </w:rPr>
        <w:t>Dokumentation</w:t>
      </w:r>
    </w:p>
    <w:p w14:paraId="1F8882DF" w14:textId="77777777" w:rsidR="00390BE0" w:rsidRPr="00355768" w:rsidRDefault="00390BE0" w:rsidP="00390BE0">
      <w:pPr>
        <w:numPr>
          <w:ilvl w:val="0"/>
          <w:numId w:val="2"/>
        </w:numPr>
      </w:pPr>
      <w:r w:rsidRPr="00355768">
        <w:rPr>
          <w:b/>
          <w:bCs/>
        </w:rPr>
        <w:t>Interne Meldung</w:t>
      </w:r>
      <w:r w:rsidRPr="00355768">
        <w:t>: Der Vorfall muss umgehend an die zuständige Schul- oder Vereinsleitung sowie an das Personalwesen gemeldet werden.</w:t>
      </w:r>
    </w:p>
    <w:p w14:paraId="53117842" w14:textId="77777777" w:rsidR="00390BE0" w:rsidRPr="00355768" w:rsidRDefault="00390BE0" w:rsidP="00390BE0">
      <w:pPr>
        <w:numPr>
          <w:ilvl w:val="0"/>
          <w:numId w:val="2"/>
        </w:numPr>
      </w:pPr>
      <w:r w:rsidRPr="00355768">
        <w:rPr>
          <w:b/>
          <w:bCs/>
        </w:rPr>
        <w:t>Externe Meldung</w:t>
      </w:r>
      <w:r w:rsidRPr="00355768">
        <w:t>: Abhängig von der Schwere des Vorfalls sind auch rechtliche Schritte zu prüfen und gegebenenfalls die zuständigen Behörden (Polizei, Jugendamt) einzuschalten. Eine Anzeige muss nicht sofort erstattet werden –</w:t>
      </w:r>
      <w:r w:rsidRPr="00355768">
        <w:rPr>
          <w:rStyle w:val="Funotenzeichen"/>
        </w:rPr>
        <w:footnoteReference w:id="1"/>
      </w:r>
    </w:p>
    <w:p w14:paraId="603F4E3F" w14:textId="77777777" w:rsidR="00390BE0" w:rsidRPr="001B5F59" w:rsidRDefault="00390BE0" w:rsidP="00390BE0">
      <w:pPr>
        <w:pStyle w:val="Listenabsatz"/>
        <w:spacing w:after="0" w:line="240" w:lineRule="auto"/>
        <w:rPr>
          <w:rFonts w:cs="Calibri"/>
          <w:sz w:val="20"/>
          <w:szCs w:val="20"/>
        </w:rPr>
      </w:pPr>
      <w:r w:rsidRPr="001B5F59">
        <w:rPr>
          <w:rFonts w:cs="Calibri"/>
          <w:sz w:val="20"/>
          <w:szCs w:val="20"/>
        </w:rPr>
        <w:t xml:space="preserve">Ein schwerer Übergriff liegt vor, wenn der begründete Verdacht besteht, dass eine nach dem Strafgesetzbuch gerichtlich strafbare Handlung erfolgt ist. Besonders wenn eines der folgenden Delikte betroffen ist, soll – nach Absprache mit Opferschutz- und/oder Prozessbegleitungseinrichtung/en – Anzeige an Polizei und/oder Staatsanwaltschaft eingereicht werden: </w:t>
      </w:r>
    </w:p>
    <w:p w14:paraId="77A9B1A8" w14:textId="77777777" w:rsidR="00390BE0" w:rsidRPr="001B5F59" w:rsidRDefault="00390BE0" w:rsidP="00390BE0">
      <w:pPr>
        <w:pStyle w:val="Listenabsatz"/>
        <w:spacing w:after="0" w:line="240" w:lineRule="auto"/>
        <w:rPr>
          <w:rFonts w:cs="Calibri"/>
          <w:sz w:val="20"/>
          <w:szCs w:val="20"/>
        </w:rPr>
      </w:pPr>
      <w:r w:rsidRPr="001B5F59">
        <w:rPr>
          <w:rFonts w:cs="Calibri"/>
          <w:sz w:val="20"/>
          <w:szCs w:val="20"/>
        </w:rPr>
        <w:t xml:space="preserve">Vergewaltigung (§ 201 StGB) = das Erzwingen des Beischlafs oder einer dem Beischlaf gleichzusetzenden Handlung; Geschlechtliche </w:t>
      </w:r>
      <w:r>
        <w:rPr>
          <w:rFonts w:cs="Calibri"/>
          <w:sz w:val="20"/>
          <w:szCs w:val="20"/>
        </w:rPr>
        <w:t>Nö</w:t>
      </w:r>
      <w:r w:rsidRPr="001B5F59">
        <w:rPr>
          <w:rFonts w:cs="Calibri"/>
          <w:sz w:val="20"/>
          <w:szCs w:val="20"/>
        </w:rPr>
        <w:t xml:space="preserve">tigung (§ 202 StGB) = das Erzwingen einer sonstigen sexuellen Handlung. Generell – und unabhängig von einem Erzwingen – sind der Beischlaf oder eine ihm   gleichzusetzende Handlung bzw. sonstige sexuelle Handlungen mit Unmündigen (§§ 206 und 207 StGB) strafbar. </w:t>
      </w:r>
    </w:p>
    <w:p w14:paraId="44117404" w14:textId="77777777" w:rsidR="00390BE0" w:rsidRPr="001B5F59" w:rsidRDefault="00390BE0" w:rsidP="00390BE0">
      <w:pPr>
        <w:pStyle w:val="Listenabsatz"/>
        <w:spacing w:after="0" w:line="240" w:lineRule="auto"/>
        <w:rPr>
          <w:rFonts w:cs="Calibri"/>
          <w:sz w:val="20"/>
          <w:szCs w:val="20"/>
        </w:rPr>
      </w:pPr>
      <w:r w:rsidRPr="001B5F59">
        <w:rPr>
          <w:rFonts w:cs="Calibri"/>
          <w:sz w:val="20"/>
          <w:szCs w:val="20"/>
          <w:u w:val="single"/>
        </w:rPr>
        <w:t>Besonders relevant</w:t>
      </w:r>
      <w:r w:rsidRPr="001B5F59">
        <w:rPr>
          <w:rFonts w:cs="Calibri"/>
          <w:sz w:val="20"/>
          <w:szCs w:val="20"/>
        </w:rPr>
        <w:t xml:space="preserve"> ist im Vereinskontext § 212 StGB, der den </w:t>
      </w:r>
      <w:r w:rsidRPr="001B5F59">
        <w:rPr>
          <w:rFonts w:cs="Calibri"/>
          <w:sz w:val="20"/>
          <w:szCs w:val="20"/>
          <w:u w:val="single"/>
        </w:rPr>
        <w:t>Missbrauch eines Autoritätsverhältnisses</w:t>
      </w:r>
      <w:r w:rsidRPr="001B5F59">
        <w:rPr>
          <w:rFonts w:cs="Calibri"/>
          <w:sz w:val="20"/>
          <w:szCs w:val="20"/>
        </w:rPr>
        <w:t xml:space="preserve"> zwischen Trainern und Kindern/Jugendlichen unter Strafe stellt. Dabei sind alle zuvor genannten Tathandlungen strafbar, auch das Vornehmen- und Zulassen von geschlechtlichen Handlungen durch Minderjährige an den Tätern. Auch das Vorschlagen von persönlichen Treffen oder das Vornehmen konkreter Vorbereitungshandlungen für persönliche </w:t>
      </w:r>
      <w:r w:rsidRPr="001B5F59">
        <w:rPr>
          <w:rFonts w:cs="Calibri"/>
          <w:sz w:val="20"/>
          <w:szCs w:val="20"/>
        </w:rPr>
        <w:lastRenderedPageBreak/>
        <w:t>Treffen – jeweils unter Täuschung über die sexuellen Absichten - ist gemäß § 208a StGB bei Unmündigen unter Strafe gestellt. Bei Kindern und Jugendlichen unter 16 Jahren sind gemäß § 208 StGB auch noch verschiedene andere sexuelle und zumindest anstößige Handlungen strafbar, beispielsweise das Vorzeigen von Pornographie. Wenn der konkrete Verdacht einer solchen strafbaren Handlung besteht, sollte unbedingt eine Anzeige eingebracht werden. Gemäß § 218 StGB ist vor allem zu beachten, dass intensive und würdeverletzende Berührungen der Geschlechtssphäre unter Strafe gestellt sind, sei es über Kleidung oder ohne. Je nach Situation ist auch das (intensive) Berühren der Oberschenkel strafbar.</w:t>
      </w:r>
    </w:p>
    <w:p w14:paraId="6C9C8C33" w14:textId="77777777" w:rsidR="00390BE0" w:rsidRPr="001B5F59" w:rsidRDefault="00390BE0" w:rsidP="00390BE0">
      <w:pPr>
        <w:pStyle w:val="Listenabsatz"/>
        <w:spacing w:after="0" w:line="240" w:lineRule="auto"/>
        <w:rPr>
          <w:rFonts w:cs="Calibri"/>
          <w:sz w:val="20"/>
          <w:szCs w:val="20"/>
        </w:rPr>
      </w:pPr>
      <w:proofErr w:type="gramStart"/>
      <w:r w:rsidRPr="001B5F59">
        <w:rPr>
          <w:rFonts w:cs="Calibri"/>
          <w:sz w:val="20"/>
          <w:szCs w:val="20"/>
        </w:rPr>
        <w:t>Sollte der mutmaßliche</w:t>
      </w:r>
      <w:proofErr w:type="gramEnd"/>
      <w:r w:rsidRPr="001B5F59">
        <w:rPr>
          <w:rFonts w:cs="Calibri"/>
          <w:sz w:val="20"/>
          <w:szCs w:val="20"/>
        </w:rPr>
        <w:t xml:space="preserve"> Übergriff zu diesen Delikten passen oder diesen zumindest wertungsmäßig gleichzuhalten sein, liegt ein schwerer Übergriff vor.</w:t>
      </w:r>
    </w:p>
    <w:p w14:paraId="4CBB7D0F" w14:textId="77777777" w:rsidR="00390BE0" w:rsidRPr="00355768" w:rsidRDefault="00390BE0" w:rsidP="00390BE0">
      <w:pPr>
        <w:pStyle w:val="Listenabsatz"/>
        <w:spacing w:after="0" w:line="240" w:lineRule="auto"/>
        <w:rPr>
          <w:rFonts w:cs="Calibri"/>
          <w:sz w:val="20"/>
          <w:szCs w:val="20"/>
        </w:rPr>
      </w:pPr>
      <w:r w:rsidRPr="001B5F59">
        <w:rPr>
          <w:rFonts w:cs="Calibri"/>
          <w:sz w:val="20"/>
          <w:szCs w:val="20"/>
        </w:rPr>
        <w:t xml:space="preserve">Generell besteht eine Mitteilungspflicht an die Kinder- und Jugendhilfe, wenn </w:t>
      </w:r>
      <w:r w:rsidRPr="001B5F59">
        <w:rPr>
          <w:rFonts w:cs="Calibri"/>
          <w:sz w:val="20"/>
          <w:szCs w:val="20"/>
          <w:lang w:val="de-DE"/>
        </w:rPr>
        <w:t>ein begründeter Verdacht vorliegt, dass</w:t>
      </w:r>
      <w:r w:rsidRPr="001B5F59">
        <w:rPr>
          <w:rFonts w:cs="Courier New"/>
          <w:sz w:val="24"/>
          <w:szCs w:val="24"/>
          <w:lang w:val="de-DE"/>
        </w:rPr>
        <w:t xml:space="preserve"> </w:t>
      </w:r>
      <w:r w:rsidRPr="001B5F59">
        <w:rPr>
          <w:rFonts w:cs="Calibri"/>
          <w:sz w:val="20"/>
          <w:szCs w:val="20"/>
        </w:rPr>
        <w:t xml:space="preserve">ein konkretes Kind oder ein Jugendlicher misshandelt, sexuell missbraucht, vernachlässigt wird/wurde oder sonst erheblich gefährdet ist und die Gefährdung nicht </w:t>
      </w:r>
      <w:r w:rsidRPr="00355768">
        <w:rPr>
          <w:rFonts w:cs="Calibri"/>
          <w:sz w:val="20"/>
          <w:szCs w:val="20"/>
        </w:rPr>
        <w:t>durch eigenes Tätigwerden abgewendet werden kann.</w:t>
      </w:r>
    </w:p>
    <w:p w14:paraId="4FB97E17" w14:textId="77777777" w:rsidR="00390BE0" w:rsidRPr="00355768" w:rsidRDefault="00390BE0" w:rsidP="00390BE0">
      <w:pPr>
        <w:ind w:left="720"/>
      </w:pPr>
    </w:p>
    <w:p w14:paraId="1A2729CD" w14:textId="77777777" w:rsidR="00390BE0" w:rsidRPr="009B5BBD" w:rsidRDefault="00390BE0" w:rsidP="00390BE0">
      <w:pPr>
        <w:numPr>
          <w:ilvl w:val="0"/>
          <w:numId w:val="2"/>
        </w:numPr>
      </w:pPr>
      <w:r w:rsidRPr="009B5BBD">
        <w:rPr>
          <w:b/>
          <w:bCs/>
        </w:rPr>
        <w:t>Dokumentation</w:t>
      </w:r>
      <w:r w:rsidRPr="009B5BBD">
        <w:t>: Alle relevanten Informationen zum Vorfall sollten sorgfältig und umfassend dokumentiert werden, einschließlich Datum, Uhrzeit, beteiligte</w:t>
      </w:r>
      <w:r>
        <w:t>r</w:t>
      </w:r>
      <w:r w:rsidRPr="009B5BBD">
        <w:t xml:space="preserve"> Personen und getroffene</w:t>
      </w:r>
      <w:r>
        <w:t>r</w:t>
      </w:r>
      <w:r w:rsidRPr="009B5BBD">
        <w:t xml:space="preserve"> Maßnahmen.</w:t>
      </w:r>
      <w:r>
        <w:t xml:space="preserve"> </w:t>
      </w:r>
    </w:p>
    <w:p w14:paraId="6B7B5119" w14:textId="77777777" w:rsidR="00390BE0" w:rsidRPr="009B5BBD" w:rsidRDefault="00390BE0" w:rsidP="00390BE0">
      <w:pPr>
        <w:rPr>
          <w:b/>
          <w:bCs/>
        </w:rPr>
      </w:pPr>
      <w:r w:rsidRPr="009B5BBD">
        <w:rPr>
          <w:b/>
          <w:bCs/>
        </w:rPr>
        <w:t>3. Untersuchung und Konsequenzen</w:t>
      </w:r>
    </w:p>
    <w:p w14:paraId="74E30BB0" w14:textId="77777777" w:rsidR="00390BE0" w:rsidRPr="009B5BBD" w:rsidRDefault="00390BE0" w:rsidP="00390BE0">
      <w:pPr>
        <w:numPr>
          <w:ilvl w:val="0"/>
          <w:numId w:val="3"/>
        </w:numPr>
      </w:pPr>
      <w:r w:rsidRPr="009B5BBD">
        <w:rPr>
          <w:b/>
          <w:bCs/>
        </w:rPr>
        <w:t>Unabhängige Untersuchung</w:t>
      </w:r>
      <w:r w:rsidRPr="009B5BBD">
        <w:t>: Eine unabhängige und transparente Untersuchung des Vorfalls ist durchzuführen. Dies kann durch externe Expert</w:t>
      </w:r>
      <w:r>
        <w:t xml:space="preserve">en </w:t>
      </w:r>
      <w:r w:rsidRPr="009B5BBD">
        <w:t>oder spezialisierte Stellen erfolgen.</w:t>
      </w:r>
    </w:p>
    <w:p w14:paraId="45445673" w14:textId="77777777" w:rsidR="00390BE0" w:rsidRPr="009B5BBD" w:rsidRDefault="00390BE0" w:rsidP="00390BE0">
      <w:pPr>
        <w:numPr>
          <w:ilvl w:val="0"/>
          <w:numId w:val="3"/>
        </w:numPr>
      </w:pPr>
      <w:r w:rsidRPr="009B5BBD">
        <w:rPr>
          <w:b/>
          <w:bCs/>
        </w:rPr>
        <w:t>Disziplinarmaßnahmen</w:t>
      </w:r>
      <w:r w:rsidRPr="009B5BBD">
        <w:t xml:space="preserve">: Abhängig vom Untersuchungsergebnis sind geeignete Disziplinarmaßnahmen zu ergreifen, die bis zur </w:t>
      </w:r>
      <w:r w:rsidRPr="00FB1EDD">
        <w:t xml:space="preserve">Entlassung (die Entlassung ist der juristisch gebräuchlichere Begriff für die außerordentliche – und damit fristlose – Kündigung) </w:t>
      </w:r>
      <w:r w:rsidRPr="009B5BBD">
        <w:t>und strafrechtlichen Verfolgung reichen können.</w:t>
      </w:r>
    </w:p>
    <w:p w14:paraId="69B548D3" w14:textId="77777777" w:rsidR="00390BE0" w:rsidRPr="009B5BBD" w:rsidRDefault="00390BE0" w:rsidP="00390BE0">
      <w:pPr>
        <w:numPr>
          <w:ilvl w:val="0"/>
          <w:numId w:val="3"/>
        </w:numPr>
      </w:pPr>
      <w:r w:rsidRPr="009B5BBD">
        <w:t xml:space="preserve"> und strafrechtlichen Verfolgung reichen können.</w:t>
      </w:r>
    </w:p>
    <w:p w14:paraId="6AB7B8B1" w14:textId="77777777" w:rsidR="00390BE0" w:rsidRPr="009B5BBD" w:rsidRDefault="00390BE0" w:rsidP="00390BE0">
      <w:pPr>
        <w:numPr>
          <w:ilvl w:val="0"/>
          <w:numId w:val="3"/>
        </w:numPr>
      </w:pPr>
      <w:r w:rsidRPr="009B5BBD">
        <w:rPr>
          <w:b/>
          <w:bCs/>
        </w:rPr>
        <w:t>Richtlinienverstöße</w:t>
      </w:r>
      <w:r w:rsidRPr="009B5BBD">
        <w:t>: Sollte sich herausstellen, dass gegen bestehende Verhaltensrichtlinien oder ethische Standards verstoßen wurde, sind entsprechende Sanktionen zu verhängen.</w:t>
      </w:r>
    </w:p>
    <w:p w14:paraId="253549AD" w14:textId="77777777" w:rsidR="00390BE0" w:rsidRPr="009B5BBD" w:rsidRDefault="00390BE0" w:rsidP="00390BE0">
      <w:pPr>
        <w:rPr>
          <w:b/>
          <w:bCs/>
        </w:rPr>
      </w:pPr>
      <w:r w:rsidRPr="009B5BBD">
        <w:rPr>
          <w:b/>
          <w:bCs/>
        </w:rPr>
        <w:t>5. Kommunikation und Transparenz</w:t>
      </w:r>
    </w:p>
    <w:p w14:paraId="0858307E" w14:textId="77777777" w:rsidR="00390BE0" w:rsidRPr="009B5BBD" w:rsidRDefault="00390BE0" w:rsidP="00390BE0">
      <w:pPr>
        <w:numPr>
          <w:ilvl w:val="0"/>
          <w:numId w:val="4"/>
        </w:numPr>
      </w:pPr>
      <w:r w:rsidRPr="009B5BBD">
        <w:rPr>
          <w:b/>
          <w:bCs/>
        </w:rPr>
        <w:t>Offene Kommunikation</w:t>
      </w:r>
      <w:r w:rsidRPr="009B5BBD">
        <w:t>: Transparente Kommunikation gegenüber allen Beteiligten (Schüler, Eltern, Lehrkräften</w:t>
      </w:r>
      <w:r>
        <w:t>, Übungsleiter*innen</w:t>
      </w:r>
      <w:r w:rsidRPr="009B5BBD">
        <w:t>) unter Wahrung der Persönlichkeitsrechte.</w:t>
      </w:r>
    </w:p>
    <w:p w14:paraId="3A48FF8E" w14:textId="77777777" w:rsidR="00390BE0" w:rsidRPr="009B5BBD" w:rsidRDefault="00390BE0" w:rsidP="00390BE0">
      <w:pPr>
        <w:numPr>
          <w:ilvl w:val="0"/>
          <w:numId w:val="4"/>
        </w:numPr>
      </w:pPr>
      <w:r w:rsidRPr="009B5BBD">
        <w:rPr>
          <w:b/>
          <w:bCs/>
        </w:rPr>
        <w:t>Vertrauensperson</w:t>
      </w:r>
      <w:r w:rsidRPr="009B5BBD">
        <w:t>: Ernennung einer neutralen Vertrauensperson oder eines Ansprechpartners für Schüler, die sich bei Bedarf vertraulich melden können.</w:t>
      </w:r>
    </w:p>
    <w:p w14:paraId="4544CEDD" w14:textId="5A858F34" w:rsidR="00094322" w:rsidRDefault="00390BE0" w:rsidP="00390BE0">
      <w:pPr>
        <w:numPr>
          <w:ilvl w:val="0"/>
          <w:numId w:val="4"/>
        </w:numPr>
      </w:pPr>
      <w:r w:rsidRPr="009B5BBD">
        <w:rPr>
          <w:b/>
          <w:bCs/>
        </w:rPr>
        <w:t>Krisenmanagement</w:t>
      </w:r>
      <w:r w:rsidRPr="009B5BBD">
        <w:t>: Entwicklung eines Krisenmanagementplans für den Fall von Vorfällen, um eine schnelle und koordinierte Reaktion zu ermöglichen.</w:t>
      </w:r>
    </w:p>
    <w:sectPr w:rsidR="000943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87CBF" w14:textId="77777777" w:rsidR="00072662" w:rsidRDefault="00072662" w:rsidP="00390BE0">
      <w:pPr>
        <w:spacing w:after="0" w:line="240" w:lineRule="auto"/>
      </w:pPr>
      <w:r>
        <w:separator/>
      </w:r>
    </w:p>
  </w:endnote>
  <w:endnote w:type="continuationSeparator" w:id="0">
    <w:p w14:paraId="2984E987" w14:textId="77777777" w:rsidR="00072662" w:rsidRDefault="00072662" w:rsidP="0039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5229" w14:textId="77777777" w:rsidR="00072662" w:rsidRDefault="00072662" w:rsidP="00390BE0">
      <w:pPr>
        <w:spacing w:after="0" w:line="240" w:lineRule="auto"/>
      </w:pPr>
      <w:r>
        <w:separator/>
      </w:r>
    </w:p>
  </w:footnote>
  <w:footnote w:type="continuationSeparator" w:id="0">
    <w:p w14:paraId="1CA3427B" w14:textId="77777777" w:rsidR="00072662" w:rsidRDefault="00072662" w:rsidP="00390BE0">
      <w:pPr>
        <w:spacing w:after="0" w:line="240" w:lineRule="auto"/>
      </w:pPr>
      <w:r>
        <w:continuationSeparator/>
      </w:r>
    </w:p>
  </w:footnote>
  <w:footnote w:id="1">
    <w:p w14:paraId="6FE27C6E" w14:textId="77777777" w:rsidR="00390BE0" w:rsidRPr="00355768" w:rsidRDefault="00390BE0" w:rsidP="00390BE0">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A4823"/>
    <w:multiLevelType w:val="multilevel"/>
    <w:tmpl w:val="6174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A56EE2"/>
    <w:multiLevelType w:val="multilevel"/>
    <w:tmpl w:val="3B6A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56638D"/>
    <w:multiLevelType w:val="multilevel"/>
    <w:tmpl w:val="BBA0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FE5302"/>
    <w:multiLevelType w:val="multilevel"/>
    <w:tmpl w:val="9618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98071">
    <w:abstractNumId w:val="0"/>
  </w:num>
  <w:num w:numId="2" w16cid:durableId="1919056076">
    <w:abstractNumId w:val="1"/>
  </w:num>
  <w:num w:numId="3" w16cid:durableId="1619145193">
    <w:abstractNumId w:val="2"/>
  </w:num>
  <w:num w:numId="4" w16cid:durableId="1461529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E0"/>
    <w:rsid w:val="00005E43"/>
    <w:rsid w:val="00072662"/>
    <w:rsid w:val="00094322"/>
    <w:rsid w:val="00390B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FBFE"/>
  <w15:chartTrackingRefBased/>
  <w15:docId w15:val="{83D5DE82-E5F2-491D-A9C6-E0C939C9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0BE0"/>
  </w:style>
  <w:style w:type="paragraph" w:styleId="berschrift1">
    <w:name w:val="heading 1"/>
    <w:basedOn w:val="Standard"/>
    <w:next w:val="Standard"/>
    <w:link w:val="berschrift1Zchn"/>
    <w:uiPriority w:val="9"/>
    <w:qFormat/>
    <w:rsid w:val="00390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90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90BE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90BE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90BE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90BE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90BE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90BE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90BE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0BE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90BE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90BE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90BE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90BE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90BE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90BE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90BE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90BE0"/>
    <w:rPr>
      <w:rFonts w:eastAsiaTheme="majorEastAsia" w:cstheme="majorBidi"/>
      <w:color w:val="272727" w:themeColor="text1" w:themeTint="D8"/>
    </w:rPr>
  </w:style>
  <w:style w:type="paragraph" w:styleId="Titel">
    <w:name w:val="Title"/>
    <w:basedOn w:val="Standard"/>
    <w:next w:val="Standard"/>
    <w:link w:val="TitelZchn"/>
    <w:uiPriority w:val="10"/>
    <w:qFormat/>
    <w:rsid w:val="00390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0BE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90BE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90BE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90BE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90BE0"/>
    <w:rPr>
      <w:i/>
      <w:iCs/>
      <w:color w:val="404040" w:themeColor="text1" w:themeTint="BF"/>
    </w:rPr>
  </w:style>
  <w:style w:type="paragraph" w:styleId="Listenabsatz">
    <w:name w:val="List Paragraph"/>
    <w:basedOn w:val="Standard"/>
    <w:uiPriority w:val="34"/>
    <w:qFormat/>
    <w:rsid w:val="00390BE0"/>
    <w:pPr>
      <w:ind w:left="720"/>
      <w:contextualSpacing/>
    </w:pPr>
  </w:style>
  <w:style w:type="character" w:styleId="IntensiveHervorhebung">
    <w:name w:val="Intense Emphasis"/>
    <w:basedOn w:val="Absatz-Standardschriftart"/>
    <w:uiPriority w:val="21"/>
    <w:qFormat/>
    <w:rsid w:val="00390BE0"/>
    <w:rPr>
      <w:i/>
      <w:iCs/>
      <w:color w:val="0F4761" w:themeColor="accent1" w:themeShade="BF"/>
    </w:rPr>
  </w:style>
  <w:style w:type="paragraph" w:styleId="IntensivesZitat">
    <w:name w:val="Intense Quote"/>
    <w:basedOn w:val="Standard"/>
    <w:next w:val="Standard"/>
    <w:link w:val="IntensivesZitatZchn"/>
    <w:uiPriority w:val="30"/>
    <w:qFormat/>
    <w:rsid w:val="00390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90BE0"/>
    <w:rPr>
      <w:i/>
      <w:iCs/>
      <w:color w:val="0F4761" w:themeColor="accent1" w:themeShade="BF"/>
    </w:rPr>
  </w:style>
  <w:style w:type="character" w:styleId="IntensiverVerweis">
    <w:name w:val="Intense Reference"/>
    <w:basedOn w:val="Absatz-Standardschriftart"/>
    <w:uiPriority w:val="32"/>
    <w:qFormat/>
    <w:rsid w:val="00390BE0"/>
    <w:rPr>
      <w:b/>
      <w:bCs/>
      <w:smallCaps/>
      <w:color w:val="0F4761" w:themeColor="accent1" w:themeShade="BF"/>
      <w:spacing w:val="5"/>
    </w:rPr>
  </w:style>
  <w:style w:type="paragraph" w:styleId="Funotentext">
    <w:name w:val="footnote text"/>
    <w:basedOn w:val="Standard"/>
    <w:link w:val="FunotentextZchn"/>
    <w:uiPriority w:val="99"/>
    <w:semiHidden/>
    <w:unhideWhenUsed/>
    <w:rsid w:val="00390BE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90BE0"/>
    <w:rPr>
      <w:sz w:val="20"/>
      <w:szCs w:val="20"/>
    </w:rPr>
  </w:style>
  <w:style w:type="character" w:styleId="Funotenzeichen">
    <w:name w:val="footnote reference"/>
    <w:basedOn w:val="Absatz-Standardschriftart"/>
    <w:uiPriority w:val="99"/>
    <w:semiHidden/>
    <w:unhideWhenUsed/>
    <w:rsid w:val="00390B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AA55D600ED6747B882750A85A12981" ma:contentTypeVersion="15" ma:contentTypeDescription="Ein neues Dokument erstellen." ma:contentTypeScope="" ma:versionID="a44802dfb67d2e3c2a4343afe36a99bb">
  <xsd:schema xmlns:xsd="http://www.w3.org/2001/XMLSchema" xmlns:xs="http://www.w3.org/2001/XMLSchema" xmlns:p="http://schemas.microsoft.com/office/2006/metadata/properties" xmlns:ns2="16e74aaf-54f6-40ec-b49e-44235ba0f0e6" xmlns:ns3="ab7e0147-0b7c-4b3e-998b-60a2e9c1227c" targetNamespace="http://schemas.microsoft.com/office/2006/metadata/properties" ma:root="true" ma:fieldsID="1c8b0d2ead27ee9830f32eaf5c91317f" ns2:_="" ns3:_="">
    <xsd:import namespace="16e74aaf-54f6-40ec-b49e-44235ba0f0e6"/>
    <xsd:import namespace="ab7e0147-0b7c-4b3e-998b-60a2e9c122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74aaf-54f6-40ec-b49e-44235ba0f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dd35e-4090-4621-b58b-88a623617f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e0147-0b7c-4b3e-998b-60a2e9c1227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ceb3842-af0c-4b6f-af3d-a2abad4cbcd3}" ma:internalName="TaxCatchAll" ma:showField="CatchAllData" ma:web="ab7e0147-0b7c-4b3e-998b-60a2e9c12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74aaf-54f6-40ec-b49e-44235ba0f0e6">
      <Terms xmlns="http://schemas.microsoft.com/office/infopath/2007/PartnerControls"/>
    </lcf76f155ced4ddcb4097134ff3c332f>
    <TaxCatchAll xmlns="ab7e0147-0b7c-4b3e-998b-60a2e9c1227c" xsi:nil="true"/>
  </documentManagement>
</p:properties>
</file>

<file path=customXml/itemProps1.xml><?xml version="1.0" encoding="utf-8"?>
<ds:datastoreItem xmlns:ds="http://schemas.openxmlformats.org/officeDocument/2006/customXml" ds:itemID="{7896BF5A-85B3-435D-A87A-B00CF0D20E9F}"/>
</file>

<file path=customXml/itemProps2.xml><?xml version="1.0" encoding="utf-8"?>
<ds:datastoreItem xmlns:ds="http://schemas.openxmlformats.org/officeDocument/2006/customXml" ds:itemID="{218C7FD4-44E9-4F71-8331-D14E1BFD42EB}"/>
</file>

<file path=customXml/itemProps3.xml><?xml version="1.0" encoding="utf-8"?>
<ds:datastoreItem xmlns:ds="http://schemas.openxmlformats.org/officeDocument/2006/customXml" ds:itemID="{3AA4BE9D-F910-4714-B2C4-48B27A38A979}"/>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4617</Characters>
  <Application>Microsoft Office Word</Application>
  <DocSecurity>0</DocSecurity>
  <Lines>38</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Daniel | ASVÖ Vorarlberg</dc:creator>
  <cp:keywords/>
  <dc:description/>
  <cp:lastModifiedBy>WAGNER Daniel | ASVÖ Vorarlberg</cp:lastModifiedBy>
  <cp:revision>1</cp:revision>
  <dcterms:created xsi:type="dcterms:W3CDTF">2026-03-09T20:25:00Z</dcterms:created>
  <dcterms:modified xsi:type="dcterms:W3CDTF">2026-03-09T20:26:00Z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0x01010006AA55D600ED6747B882750A85A12981</vt:lpwstr>
  </property>
</Properties>
</file>