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AB84" w14:textId="77777777" w:rsidR="00F41468" w:rsidRPr="005202E5" w:rsidRDefault="00F41468" w:rsidP="00F4146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5202E5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Konsequenzen bei erstmaligen Ereignissen und abhängig vom Schweregrad</w:t>
      </w:r>
    </w:p>
    <w:p w14:paraId="4AFDE32F" w14:textId="77777777" w:rsidR="00F41468" w:rsidRPr="001B5F59" w:rsidRDefault="00F41468" w:rsidP="00F41468">
      <w:pPr>
        <w:spacing w:after="0" w:line="240" w:lineRule="auto"/>
      </w:pPr>
      <w:r w:rsidRPr="001B5F59">
        <w:t>Wird der Täter wegen einer gerichtlich strafbaren Handlung gemäß §§ 201 – 220b StGB (zu den relevantesten Delikten siehe zuvor), kann das Gericht gemäß § 220b StGB ein Tätigkeitsverbot verhängen. Sofern der betroffene Mitarbeiter nicht ohnehin entlassen wird, muss der Verein dieses Tätigkeitsverbot beachten; der betroffene Mitarbeiter darf dann nicht im vom Gericht verhängten Verbotsbereich beschäftigt werden. Generell ist von einer Weiterbeschäftigung nach einer rechtskräftigen Verurteilung abzuraten; eine Entlassung oder ein Ausschluss aus dem Verein wird empfohlen.</w:t>
      </w:r>
    </w:p>
    <w:p w14:paraId="09016236" w14:textId="77777777" w:rsidR="00F41468" w:rsidRDefault="00F41468" w:rsidP="00F41468">
      <w:pPr>
        <w:spacing w:line="360" w:lineRule="auto"/>
      </w:pPr>
    </w:p>
    <w:p w14:paraId="152166D2" w14:textId="77777777" w:rsidR="00F41468" w:rsidRPr="001B5F59" w:rsidRDefault="00F41468" w:rsidP="00F41468">
      <w:pPr>
        <w:spacing w:after="0" w:line="240" w:lineRule="auto"/>
      </w:pPr>
      <w:r w:rsidRPr="001B5F59">
        <w:t xml:space="preserve">Führt eine Anzeige zu keiner Verurteilung oder ist das konkrete Verdachtsmoment zwar ethisch, aber rechtlich nicht verwerflich, bedarf es im ersten Fall einer vereinsinternen Aufarbeitung, im zweiten disziplinarischen Folgen. </w:t>
      </w:r>
    </w:p>
    <w:p w14:paraId="3D72386B" w14:textId="77777777" w:rsidR="00F41468" w:rsidRDefault="00F41468" w:rsidP="00F41468"/>
    <w:p w14:paraId="61EB2833" w14:textId="77777777" w:rsidR="00F41468" w:rsidRPr="0067599B" w:rsidRDefault="00F41468" w:rsidP="00F41468">
      <w:r w:rsidRPr="0067599B">
        <w:t>Balance zwischen der Anerkennung des bisherigen positiven Beitrags des</w:t>
      </w:r>
      <w:r>
        <w:t>/der</w:t>
      </w:r>
      <w:r w:rsidRPr="0067599B">
        <w:t xml:space="preserve"> Trainer</w:t>
      </w:r>
      <w:r>
        <w:t>*in</w:t>
      </w:r>
      <w:r w:rsidRPr="0067599B">
        <w:t xml:space="preserve"> und der Notwendigkeit, klare Grenzen zu setzen, ist entscheidend. Die Maßnahmen sollten darauf abzielen, den</w:t>
      </w:r>
      <w:r>
        <w:t>/die</w:t>
      </w:r>
      <w:r w:rsidRPr="0067599B">
        <w:t xml:space="preserve"> Trainer</w:t>
      </w:r>
      <w:r>
        <w:t>*in</w:t>
      </w:r>
      <w:r w:rsidRPr="0067599B">
        <w:t xml:space="preserve"> zu korrigieren und zu sensibilisieren, während gleichzeitig der Schutz der </w:t>
      </w:r>
      <w:r>
        <w:t>Kinder und Jugendlichen o</w:t>
      </w:r>
      <w:r w:rsidRPr="0067599B">
        <w:t>berste Priorität hat. Der Fokus sollte auf Rehabilitation und Prävention liegen, mit der klaren Botschaft, dass Übergriffe inakzeptabel sind und Konsequenzen haben.</w:t>
      </w:r>
    </w:p>
    <w:p w14:paraId="157229BC" w14:textId="77777777" w:rsidR="00F41468" w:rsidRDefault="00F41468" w:rsidP="00F41468"/>
    <w:p w14:paraId="57B7D8C7" w14:textId="77777777" w:rsidR="00F41468" w:rsidRDefault="00F41468" w:rsidP="00F41468">
      <w:r w:rsidRPr="0067599B">
        <w:t xml:space="preserve">Disziplinarmaßnahmen mit Bedacht </w:t>
      </w:r>
      <w:r>
        <w:t>wählen</w:t>
      </w:r>
      <w:r w:rsidRPr="0067599B">
        <w:t>. Es ist wichtig, das Fehlverhalten ernst zu nehmen, gleichzeitig aber auch den Kontext und die bisherige positive Leistung des</w:t>
      </w:r>
      <w:r>
        <w:t>/der</w:t>
      </w:r>
      <w:r w:rsidRPr="0067599B">
        <w:t xml:space="preserve"> Trainer</w:t>
      </w:r>
      <w:r>
        <w:t>*in</w:t>
      </w:r>
      <w:r w:rsidRPr="0067599B">
        <w:t xml:space="preserve"> zu berücksichtigen. Hier sind mögliche disziplinarische Konsequenzen und Maßnahmen, die in einem solchen Fall ergriffen werden könnten:</w:t>
      </w:r>
    </w:p>
    <w:p w14:paraId="43042F12" w14:textId="77777777" w:rsidR="00F41468" w:rsidRPr="0067599B" w:rsidRDefault="00F41468" w:rsidP="00F41468"/>
    <w:p w14:paraId="128EAB25" w14:textId="77777777" w:rsidR="00F41468" w:rsidRPr="0067599B" w:rsidRDefault="00F41468" w:rsidP="00F41468">
      <w:pPr>
        <w:rPr>
          <w:b/>
          <w:bCs/>
        </w:rPr>
      </w:pPr>
      <w:r w:rsidRPr="0067599B">
        <w:rPr>
          <w:b/>
          <w:bCs/>
        </w:rPr>
        <w:t>1. Sofortige Freistellung und Untersuchung</w:t>
      </w:r>
    </w:p>
    <w:p w14:paraId="0648699C" w14:textId="77777777" w:rsidR="00F41468" w:rsidRPr="0067599B" w:rsidRDefault="00F41468" w:rsidP="00F41468">
      <w:pPr>
        <w:numPr>
          <w:ilvl w:val="0"/>
          <w:numId w:val="1"/>
        </w:numPr>
      </w:pPr>
      <w:r w:rsidRPr="0067599B">
        <w:rPr>
          <w:b/>
          <w:bCs/>
        </w:rPr>
        <w:t>Freistellung</w:t>
      </w:r>
      <w:r w:rsidRPr="0067599B">
        <w:t>: Der</w:t>
      </w:r>
      <w:r>
        <w:t>/die</w:t>
      </w:r>
      <w:r w:rsidRPr="0067599B">
        <w:t xml:space="preserve"> Trainer</w:t>
      </w:r>
      <w:r>
        <w:t>*in</w:t>
      </w:r>
      <w:r w:rsidRPr="0067599B">
        <w:t xml:space="preserve"> sollte sofort vorübergehend von allen Unterrichts- und Trainingsverpflichtungen freigestellt werden, um eine gründliche Untersuchung des Vorfalls zu ermöglichen und die Sicherheit </w:t>
      </w:r>
      <w:r>
        <w:t xml:space="preserve">der Kinder/Jugendlichen </w:t>
      </w:r>
      <w:r w:rsidRPr="0067599B">
        <w:t>zu gewährleisten.</w:t>
      </w:r>
    </w:p>
    <w:p w14:paraId="23083DDF" w14:textId="77777777" w:rsidR="00F41468" w:rsidRPr="0067599B" w:rsidRDefault="00F41468" w:rsidP="00F41468">
      <w:pPr>
        <w:numPr>
          <w:ilvl w:val="0"/>
          <w:numId w:val="1"/>
        </w:numPr>
      </w:pPr>
      <w:r w:rsidRPr="0067599B">
        <w:rPr>
          <w:b/>
          <w:bCs/>
        </w:rPr>
        <w:t>Untersuchung</w:t>
      </w:r>
      <w:r w:rsidRPr="0067599B">
        <w:t>: Eine neutrale und gründliche Untersuchung des Vorfalls sollte eingeleitet werden, um die genauen Umstände und Hintergründe zu klären.</w:t>
      </w:r>
    </w:p>
    <w:p w14:paraId="0E3A5055" w14:textId="77777777" w:rsidR="00F41468" w:rsidRPr="0067599B" w:rsidRDefault="00F41468" w:rsidP="00F41468">
      <w:pPr>
        <w:rPr>
          <w:b/>
          <w:bCs/>
        </w:rPr>
      </w:pPr>
      <w:r w:rsidRPr="0067599B">
        <w:rPr>
          <w:b/>
          <w:bCs/>
        </w:rPr>
        <w:t>2. Disziplinarische Maßnahmen</w:t>
      </w:r>
    </w:p>
    <w:p w14:paraId="6E2888D2" w14:textId="77777777" w:rsidR="00F41468" w:rsidRPr="0067599B" w:rsidRDefault="00F41468" w:rsidP="00F41468">
      <w:pPr>
        <w:numPr>
          <w:ilvl w:val="0"/>
          <w:numId w:val="2"/>
        </w:numPr>
      </w:pPr>
      <w:r w:rsidRPr="0067599B">
        <w:rPr>
          <w:b/>
          <w:bCs/>
        </w:rPr>
        <w:t>Verwarnung und Ermahnung</w:t>
      </w:r>
      <w:r w:rsidRPr="0067599B">
        <w:t>:</w:t>
      </w:r>
    </w:p>
    <w:p w14:paraId="2415C61E" w14:textId="77777777" w:rsidR="00F41468" w:rsidRPr="0067599B" w:rsidRDefault="00F41468" w:rsidP="00F41468">
      <w:pPr>
        <w:numPr>
          <w:ilvl w:val="1"/>
          <w:numId w:val="2"/>
        </w:numPr>
      </w:pPr>
      <w:r w:rsidRPr="0067599B">
        <w:rPr>
          <w:b/>
          <w:bCs/>
        </w:rPr>
        <w:t>Schriftliche Verwarnung</w:t>
      </w:r>
      <w:r w:rsidRPr="0067599B">
        <w:t>: Eine offizielle schriftliche Verwarnung sollte ausgestellt werden, die das Fehlverhalten dokumentiert und klarstellt, dass solche Übergriffe inakzeptabel sind und zukünftig strengere Maßnahmen ergriffen werden.</w:t>
      </w:r>
    </w:p>
    <w:p w14:paraId="725E410A" w14:textId="77777777" w:rsidR="00F41468" w:rsidRPr="0067599B" w:rsidRDefault="00F41468" w:rsidP="00F41468">
      <w:pPr>
        <w:numPr>
          <w:ilvl w:val="1"/>
          <w:numId w:val="2"/>
        </w:numPr>
      </w:pPr>
      <w:r w:rsidRPr="0067599B">
        <w:rPr>
          <w:b/>
          <w:bCs/>
        </w:rPr>
        <w:lastRenderedPageBreak/>
        <w:t>Ermahnungsgespräch</w:t>
      </w:r>
      <w:r w:rsidRPr="0067599B">
        <w:t>: Ein persönliches Gespräch zwischen dem</w:t>
      </w:r>
      <w:r>
        <w:t>/der</w:t>
      </w:r>
      <w:r w:rsidRPr="0067599B">
        <w:t xml:space="preserve"> Trainer</w:t>
      </w:r>
      <w:r>
        <w:t>*in</w:t>
      </w:r>
      <w:r w:rsidRPr="0067599B">
        <w:t xml:space="preserve"> und der Schul- oder Vereinsleitung, in dem das Verhalten besprochen und die Erwartungen für die Zukunft klar formuliert werden.</w:t>
      </w:r>
    </w:p>
    <w:p w14:paraId="24F21C2A" w14:textId="77777777" w:rsidR="00F41468" w:rsidRPr="0067599B" w:rsidRDefault="00F41468" w:rsidP="00F41468">
      <w:pPr>
        <w:numPr>
          <w:ilvl w:val="1"/>
          <w:numId w:val="2"/>
        </w:numPr>
      </w:pPr>
      <w:r w:rsidRPr="00464D37">
        <w:rPr>
          <w:b/>
          <w:bCs/>
        </w:rPr>
        <w:t>Fortbildung und Sensibilisierung</w:t>
      </w:r>
      <w:r w:rsidRPr="0067599B">
        <w:t>:</w:t>
      </w:r>
      <w:r>
        <w:t xml:space="preserve"> </w:t>
      </w:r>
      <w:r w:rsidRPr="00464D37">
        <w:rPr>
          <w:b/>
          <w:bCs/>
        </w:rPr>
        <w:t>Teilnahme an Schulungen</w:t>
      </w:r>
      <w:r w:rsidRPr="0067599B">
        <w:t>: Der</w:t>
      </w:r>
      <w:r>
        <w:t>/die</w:t>
      </w:r>
      <w:r w:rsidRPr="0067599B">
        <w:t xml:space="preserve"> Trainer</w:t>
      </w:r>
      <w:r>
        <w:t>*in</w:t>
      </w:r>
      <w:r w:rsidRPr="0067599B">
        <w:t xml:space="preserve"> sollte verpflichtet werden, an Fortbildungen zur Gewaltprävention, Konfliktmanagement und zu ethischen Standards im Sport teilzunehmen.</w:t>
      </w:r>
    </w:p>
    <w:p w14:paraId="772F30BA" w14:textId="77777777" w:rsidR="00F41468" w:rsidRPr="0067599B" w:rsidRDefault="00F41468" w:rsidP="00F41468">
      <w:pPr>
        <w:numPr>
          <w:ilvl w:val="1"/>
          <w:numId w:val="2"/>
        </w:numPr>
      </w:pPr>
      <w:r w:rsidRPr="0067599B">
        <w:rPr>
          <w:b/>
          <w:bCs/>
        </w:rPr>
        <w:t>Supervision oder Coaching</w:t>
      </w:r>
      <w:r w:rsidRPr="0067599B">
        <w:t>: Ein begleitendes Coaching oder eine Supervision könnte</w:t>
      </w:r>
      <w:r>
        <w:t>n</w:t>
      </w:r>
      <w:r w:rsidRPr="0067599B">
        <w:t xml:space="preserve"> eingeführt werden, um </w:t>
      </w:r>
      <w:r>
        <w:t>die/</w:t>
      </w:r>
      <w:r w:rsidRPr="0067599B">
        <w:t>den Trainer</w:t>
      </w:r>
      <w:r>
        <w:t>*in</w:t>
      </w:r>
      <w:r w:rsidRPr="0067599B">
        <w:t xml:space="preserve"> </w:t>
      </w:r>
      <w:proofErr w:type="spellStart"/>
      <w:r w:rsidRPr="0067599B">
        <w:t>in</w:t>
      </w:r>
      <w:proofErr w:type="spellEnd"/>
      <w:r w:rsidRPr="0067599B">
        <w:t xml:space="preserve"> </w:t>
      </w:r>
      <w:r>
        <w:t>ihrer/</w:t>
      </w:r>
      <w:r w:rsidRPr="0067599B">
        <w:t>seiner persönlichen und beruflichen Entwicklung zu unterstützen und ähnliche Vorfälle in der Zukunft zu verhindern.</w:t>
      </w:r>
    </w:p>
    <w:p w14:paraId="686D359F" w14:textId="77777777" w:rsidR="00F41468" w:rsidRPr="0067599B" w:rsidRDefault="00F41468" w:rsidP="00F41468">
      <w:pPr>
        <w:rPr>
          <w:b/>
          <w:bCs/>
        </w:rPr>
      </w:pPr>
      <w:r w:rsidRPr="0067599B">
        <w:rPr>
          <w:b/>
          <w:bCs/>
        </w:rPr>
        <w:t>3. Eingeschränkte Arbeitsbedingungen</w:t>
      </w:r>
    </w:p>
    <w:p w14:paraId="40AEFDE3" w14:textId="77777777" w:rsidR="00F41468" w:rsidRPr="0067599B" w:rsidRDefault="00F41468" w:rsidP="00F41468">
      <w:pPr>
        <w:numPr>
          <w:ilvl w:val="0"/>
          <w:numId w:val="3"/>
        </w:numPr>
        <w:rPr>
          <w:b/>
          <w:bCs/>
        </w:rPr>
      </w:pPr>
      <w:r w:rsidRPr="0067599B">
        <w:rPr>
          <w:b/>
          <w:bCs/>
        </w:rPr>
        <w:t>Begrenzter Kontakt mit Schüler</w:t>
      </w:r>
      <w:r>
        <w:rPr>
          <w:b/>
          <w:bCs/>
        </w:rPr>
        <w:t>n</w:t>
      </w:r>
    </w:p>
    <w:p w14:paraId="144EC13D" w14:textId="77777777" w:rsidR="00F41468" w:rsidRPr="0067599B" w:rsidRDefault="00F41468" w:rsidP="00F41468">
      <w:r w:rsidRPr="0067599B">
        <w:t>Je nach Schwere des Vorfalls könnte es sinnvoll sein, den</w:t>
      </w:r>
      <w:r>
        <w:t>/die</w:t>
      </w:r>
      <w:r w:rsidRPr="0067599B">
        <w:t xml:space="preserve"> Trainer</w:t>
      </w:r>
      <w:r>
        <w:t>*in</w:t>
      </w:r>
      <w:r w:rsidRPr="0067599B">
        <w:t xml:space="preserve"> für eine bestimmte Zeit nur in Anwesenheit eines zweiten Mitarbeiters arbeiten zu lassen, bis klar ist, dass keine weiteren Übergriffe zu erwarten sind.</w:t>
      </w:r>
    </w:p>
    <w:p w14:paraId="2C57F77C" w14:textId="77777777" w:rsidR="00F41468" w:rsidRPr="0067599B" w:rsidRDefault="00F41468" w:rsidP="00F41468">
      <w:pPr>
        <w:numPr>
          <w:ilvl w:val="0"/>
          <w:numId w:val="3"/>
        </w:numPr>
      </w:pPr>
      <w:r w:rsidRPr="0067599B">
        <w:rPr>
          <w:b/>
          <w:bCs/>
        </w:rPr>
        <w:t>Probezeit unter verschärfter Beobachtung</w:t>
      </w:r>
      <w:r w:rsidRPr="0067599B">
        <w:t>: Eine zeitlich begrenzte Probezeit könnte eingerichtet werden, während derer das Verhalten des</w:t>
      </w:r>
      <w:r w:rsidRPr="00464D37">
        <w:t xml:space="preserve"> </w:t>
      </w:r>
      <w:r w:rsidRPr="0067599B">
        <w:t>Trainer</w:t>
      </w:r>
      <w:r>
        <w:t>s/der</w:t>
      </w:r>
      <w:r w:rsidRPr="0067599B">
        <w:t xml:space="preserve"> Trainer</w:t>
      </w:r>
      <w:r>
        <w:t>in</w:t>
      </w:r>
      <w:r w:rsidRPr="0067599B">
        <w:t xml:space="preserve"> besonders genau überwacht wird. Bei weiteren Vorfällen würde dies zu einer strengeren Konsequenz führen.</w:t>
      </w:r>
    </w:p>
    <w:p w14:paraId="45BE1DF9" w14:textId="77777777" w:rsidR="00F41468" w:rsidRPr="0067599B" w:rsidRDefault="00F41468" w:rsidP="00F41468">
      <w:pPr>
        <w:rPr>
          <w:b/>
          <w:bCs/>
        </w:rPr>
      </w:pPr>
      <w:r w:rsidRPr="0067599B">
        <w:rPr>
          <w:b/>
          <w:bCs/>
        </w:rPr>
        <w:t>4. Kommunikation und Transparenz</w:t>
      </w:r>
    </w:p>
    <w:p w14:paraId="2990AFB4" w14:textId="77777777" w:rsidR="00F41468" w:rsidRPr="0067599B" w:rsidRDefault="00F41468" w:rsidP="00F41468">
      <w:pPr>
        <w:numPr>
          <w:ilvl w:val="0"/>
          <w:numId w:val="4"/>
        </w:numPr>
      </w:pPr>
      <w:r w:rsidRPr="0067599B">
        <w:rPr>
          <w:b/>
          <w:bCs/>
        </w:rPr>
        <w:t>Kommunikation mit den Betroffenen</w:t>
      </w:r>
      <w:r w:rsidRPr="0067599B">
        <w:t xml:space="preserve">: </w:t>
      </w:r>
      <w:r w:rsidRPr="00DF37FA">
        <w:t>Dem betroffenen Kind oder den betroffenen Jugendlichen und ihren Eltern sollte transparent und respektvoll mitgeteilt werden, welche Maßnahmen ergriffen wurden, um zukünftige Vorfälle zu verhindern.</w:t>
      </w:r>
    </w:p>
    <w:p w14:paraId="2EB1427E" w14:textId="77777777" w:rsidR="00F41468" w:rsidRPr="0067599B" w:rsidRDefault="00F41468" w:rsidP="00F41468">
      <w:pPr>
        <w:numPr>
          <w:ilvl w:val="0"/>
          <w:numId w:val="4"/>
        </w:numPr>
      </w:pPr>
      <w:r w:rsidRPr="0067599B">
        <w:rPr>
          <w:b/>
          <w:bCs/>
        </w:rPr>
        <w:t>Interne Kommunikation</w:t>
      </w:r>
      <w:r w:rsidRPr="0067599B">
        <w:t>: Innerhalb der Organisation sollte klar kommuniziert werden, dass das Verhalten nicht toleriert wird, aber auch, welche Maßnahmen zur Unterstützung und zur Vermeidung zukünftiger Vorfälle unternommen werden.</w:t>
      </w:r>
    </w:p>
    <w:p w14:paraId="615094CB" w14:textId="77777777" w:rsidR="00F41468" w:rsidRPr="0067599B" w:rsidRDefault="00F41468" w:rsidP="00F41468">
      <w:pPr>
        <w:rPr>
          <w:b/>
          <w:bCs/>
        </w:rPr>
      </w:pPr>
      <w:r w:rsidRPr="0067599B">
        <w:rPr>
          <w:b/>
          <w:bCs/>
        </w:rPr>
        <w:t>5. Weitere Maßnahmen bei Wiederholung</w:t>
      </w:r>
    </w:p>
    <w:p w14:paraId="1CBBCEC1" w14:textId="6A0ACFD9" w:rsidR="00094322" w:rsidRDefault="00F41468" w:rsidP="00F41468">
      <w:pPr>
        <w:numPr>
          <w:ilvl w:val="0"/>
          <w:numId w:val="5"/>
        </w:numPr>
      </w:pPr>
      <w:r w:rsidRPr="0067599B">
        <w:rPr>
          <w:b/>
          <w:bCs/>
        </w:rPr>
        <w:t>Deutliche Konsequenzen bei Wiederholung</w:t>
      </w:r>
      <w:r w:rsidRPr="0067599B">
        <w:t xml:space="preserve">: Es sollte unmissverständlich klargestellt werden, dass bei einem weiteren Vorfall schwerwiegendere Maßnahmen, wie eine fristlose </w:t>
      </w:r>
      <w:r>
        <w:t>Entlassung</w:t>
      </w:r>
      <w:r w:rsidRPr="0067599B">
        <w:t>, in Betracht gezogen werden.</w:t>
      </w:r>
    </w:p>
    <w:sectPr w:rsidR="000943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2ED0"/>
    <w:multiLevelType w:val="multilevel"/>
    <w:tmpl w:val="3818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137C5"/>
    <w:multiLevelType w:val="multilevel"/>
    <w:tmpl w:val="84D0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660F7"/>
    <w:multiLevelType w:val="multilevel"/>
    <w:tmpl w:val="5D82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57DE1"/>
    <w:multiLevelType w:val="multilevel"/>
    <w:tmpl w:val="C7F0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93476"/>
    <w:multiLevelType w:val="multilevel"/>
    <w:tmpl w:val="C0BC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051650">
    <w:abstractNumId w:val="0"/>
  </w:num>
  <w:num w:numId="2" w16cid:durableId="1124079272">
    <w:abstractNumId w:val="1"/>
  </w:num>
  <w:num w:numId="3" w16cid:durableId="1479416805">
    <w:abstractNumId w:val="2"/>
  </w:num>
  <w:num w:numId="4" w16cid:durableId="949580382">
    <w:abstractNumId w:val="3"/>
  </w:num>
  <w:num w:numId="5" w16cid:durableId="1001471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68"/>
    <w:rsid w:val="00005E43"/>
    <w:rsid w:val="00094322"/>
    <w:rsid w:val="00F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336D"/>
  <w15:chartTrackingRefBased/>
  <w15:docId w15:val="{A441D3B8-917B-455E-A0F5-3CF7B14A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1468"/>
  </w:style>
  <w:style w:type="paragraph" w:styleId="berschrift1">
    <w:name w:val="heading 1"/>
    <w:basedOn w:val="Standard"/>
    <w:next w:val="Standard"/>
    <w:link w:val="berschrift1Zchn"/>
    <w:uiPriority w:val="9"/>
    <w:qFormat/>
    <w:rsid w:val="00F41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1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1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1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1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1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1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1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1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1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1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14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14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14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14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14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14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1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1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1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14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14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14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1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14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1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A55D600ED6747B882750A85A12981" ma:contentTypeVersion="15" ma:contentTypeDescription="Ein neues Dokument erstellen." ma:contentTypeScope="" ma:versionID="a44802dfb67d2e3c2a4343afe36a99bb">
  <xsd:schema xmlns:xsd="http://www.w3.org/2001/XMLSchema" xmlns:xs="http://www.w3.org/2001/XMLSchema" xmlns:p="http://schemas.microsoft.com/office/2006/metadata/properties" xmlns:ns2="16e74aaf-54f6-40ec-b49e-44235ba0f0e6" xmlns:ns3="ab7e0147-0b7c-4b3e-998b-60a2e9c1227c" targetNamespace="http://schemas.microsoft.com/office/2006/metadata/properties" ma:root="true" ma:fieldsID="1c8b0d2ead27ee9830f32eaf5c91317f" ns2:_="" ns3:_="">
    <xsd:import namespace="16e74aaf-54f6-40ec-b49e-44235ba0f0e6"/>
    <xsd:import namespace="ab7e0147-0b7c-4b3e-998b-60a2e9c12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74aaf-54f6-40ec-b49e-44235ba0f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95dd35e-4090-4621-b58b-88a623617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e0147-0b7c-4b3e-998b-60a2e9c12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eb3842-af0c-4b6f-af3d-a2abad4cbcd3}" ma:internalName="TaxCatchAll" ma:showField="CatchAllData" ma:web="ab7e0147-0b7c-4b3e-998b-60a2e9c12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74aaf-54f6-40ec-b49e-44235ba0f0e6">
      <Terms xmlns="http://schemas.microsoft.com/office/infopath/2007/PartnerControls"/>
    </lcf76f155ced4ddcb4097134ff3c332f>
    <TaxCatchAll xmlns="ab7e0147-0b7c-4b3e-998b-60a2e9c1227c" xsi:nil="true"/>
  </documentManagement>
</p:properties>
</file>

<file path=customXml/itemProps1.xml><?xml version="1.0" encoding="utf-8"?>
<ds:datastoreItem xmlns:ds="http://schemas.openxmlformats.org/officeDocument/2006/customXml" ds:itemID="{34167AC3-51E4-4C7B-A2C4-49935758F569}"/>
</file>

<file path=customXml/itemProps2.xml><?xml version="1.0" encoding="utf-8"?>
<ds:datastoreItem xmlns:ds="http://schemas.openxmlformats.org/officeDocument/2006/customXml" ds:itemID="{ACB46850-B3E3-4AB1-B91F-9A4D0263EEAB}"/>
</file>

<file path=customXml/itemProps3.xml><?xml version="1.0" encoding="utf-8"?>
<ds:datastoreItem xmlns:ds="http://schemas.openxmlformats.org/officeDocument/2006/customXml" ds:itemID="{903B0E1C-92C5-42B5-B1C4-773508E323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Daniel | ASVÖ Vorarlberg</dc:creator>
  <cp:keywords/>
  <dc:description/>
  <cp:lastModifiedBy>WAGNER Daniel | ASVÖ Vorarlberg</cp:lastModifiedBy>
  <cp:revision>1</cp:revision>
  <dcterms:created xsi:type="dcterms:W3CDTF">2026-03-09T20:26:00Z</dcterms:created>
  <dcterms:modified xsi:type="dcterms:W3CDTF">2026-03-09T20:28:00Z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0x01010006AA55D600ED6747B882750A85A12981</vt:lpwstr>
  </property>
</Properties>
</file>